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5" w:rsidRDefault="00DF741A">
      <w:pPr>
        <w:ind w:left="1746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40"/>
          <w:szCs w:val="40"/>
        </w:rPr>
        <w:t>ASSEMBLEA GENERALE DI ORVIETO</w:t>
      </w:r>
    </w:p>
    <w:p w:rsidR="00B35CD5" w:rsidRDefault="00B35CD5">
      <w:pPr>
        <w:spacing w:line="240" w:lineRule="exact"/>
        <w:rPr>
          <w:sz w:val="24"/>
          <w:szCs w:val="24"/>
        </w:rPr>
      </w:pPr>
    </w:p>
    <w:p w:rsidR="00B35CD5" w:rsidRDefault="00DF741A">
      <w:pPr>
        <w:ind w:left="3486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MAGGIO 2019</w:t>
      </w:r>
    </w:p>
    <w:p w:rsidR="00B35CD5" w:rsidRDefault="00B35CD5">
      <w:pPr>
        <w:spacing w:line="200" w:lineRule="exact"/>
        <w:rPr>
          <w:sz w:val="24"/>
          <w:szCs w:val="24"/>
        </w:rPr>
      </w:pPr>
    </w:p>
    <w:p w:rsidR="00B35CD5" w:rsidRDefault="00B35CD5">
      <w:pPr>
        <w:spacing w:line="237" w:lineRule="exact"/>
        <w:rPr>
          <w:sz w:val="24"/>
          <w:szCs w:val="24"/>
        </w:rPr>
      </w:pPr>
    </w:p>
    <w:p w:rsidR="00B35CD5" w:rsidRDefault="00DF741A">
      <w:pPr>
        <w:ind w:right="-65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GA-DAY</w:t>
      </w:r>
    </w:p>
    <w:p w:rsidR="00B35CD5" w:rsidRDefault="00B35CD5">
      <w:pPr>
        <w:spacing w:line="200" w:lineRule="exact"/>
        <w:rPr>
          <w:sz w:val="24"/>
          <w:szCs w:val="24"/>
        </w:rPr>
      </w:pPr>
    </w:p>
    <w:p w:rsidR="00B35CD5" w:rsidRDefault="00B35CD5">
      <w:pPr>
        <w:spacing w:line="256" w:lineRule="exact"/>
        <w:rPr>
          <w:sz w:val="24"/>
          <w:szCs w:val="24"/>
        </w:rPr>
      </w:pPr>
    </w:p>
    <w:p w:rsidR="00B35CD5" w:rsidRDefault="00DF741A">
      <w:pPr>
        <w:spacing w:line="234" w:lineRule="auto"/>
        <w:ind w:left="6" w:right="640"/>
        <w:rPr>
          <w:sz w:val="20"/>
          <w:szCs w:val="20"/>
        </w:rPr>
      </w:pPr>
      <w:r>
        <w:rPr>
          <w:rFonts w:eastAsia="Times New Roman"/>
        </w:rPr>
        <w:t xml:space="preserve">L’evento è rivolto a studenti </w:t>
      </w:r>
      <w:r>
        <w:rPr>
          <w:rFonts w:eastAsia="Times New Roman"/>
          <w:b/>
          <w:bCs/>
        </w:rPr>
        <w:t>del 3°, 4° e 5° anno delle scuole superiori</w:t>
      </w:r>
      <w:r>
        <w:rPr>
          <w:rFonts w:eastAsia="Times New Roman"/>
        </w:rPr>
        <w:t xml:space="preserve"> e prevede il confronto dei partecipanti su temi di attualità politica, legati quest’anno soprattutto all’effetto che il cambiamento climatico e gli altri problemi legati alla globalizzazione hanno avuto nel territorio locale. Gli studenti elaboreranno pro</w:t>
      </w:r>
      <w:r>
        <w:rPr>
          <w:rFonts w:eastAsia="Times New Roman"/>
        </w:rPr>
        <w:t>poste concrete che verranno dibattute in un’assemblea strutturata sul modello dell’Assemblea plenaria del Parlamento europeo.</w:t>
      </w:r>
    </w:p>
    <w:p w:rsidR="00B35CD5" w:rsidRDefault="00B35CD5">
      <w:pPr>
        <w:spacing w:line="5" w:lineRule="exact"/>
        <w:rPr>
          <w:sz w:val="24"/>
          <w:szCs w:val="24"/>
        </w:rPr>
      </w:pPr>
    </w:p>
    <w:p w:rsidR="00B35CD5" w:rsidRDefault="00DF741A">
      <w:pPr>
        <w:spacing w:line="227" w:lineRule="auto"/>
        <w:ind w:left="6"/>
        <w:rPr>
          <w:sz w:val="20"/>
          <w:szCs w:val="20"/>
        </w:rPr>
      </w:pPr>
      <w:r>
        <w:rPr>
          <w:rFonts w:eastAsia="Times New Roman"/>
        </w:rPr>
        <w:t>Ciascuna scuola parteciperà con un gruppo di 10/12 studenti, ognuno dei quali costituirà una commissione di lavoro del Parlamento</w:t>
      </w:r>
      <w:r>
        <w:rPr>
          <w:rFonts w:eastAsia="Times New Roman"/>
        </w:rPr>
        <w:t xml:space="preserve"> europeo e presenterà all’ </w:t>
      </w:r>
      <w:r>
        <w:rPr>
          <w:rFonts w:eastAsia="Times New Roman"/>
          <w:i/>
          <w:iCs/>
        </w:rPr>
        <w:t>Assemblea plenaria</w:t>
      </w:r>
      <w:r>
        <w:rPr>
          <w:rFonts w:eastAsia="Times New Roman"/>
        </w:rPr>
        <w:t xml:space="preserve"> la propria proposta di risoluzione, che sarà dibattuta da tutti partecipanti. La proposta di risoluzione è un elaborato modellato secondo la struttura propria del Parlamento europeo, in cui si esamina un dato p</w:t>
      </w:r>
      <w:r>
        <w:rPr>
          <w:rFonts w:eastAsia="Times New Roman"/>
        </w:rPr>
        <w:t xml:space="preserve">roblema e si propongono interventi e soluzioni. La risoluzione si compone di due parti: un’introduzione, che riporta la base giuridica e le motivazioni delle azioni proposte, e una parte operativa che presenta le azioni concrete da adottare per far fronte </w:t>
      </w:r>
      <w:r>
        <w:rPr>
          <w:rFonts w:eastAsia="Times New Roman"/>
        </w:rPr>
        <w:t xml:space="preserve">al problema. La proposta deve essere redatta in </w:t>
      </w:r>
      <w:r>
        <w:rPr>
          <w:rFonts w:eastAsia="Times New Roman"/>
          <w:b/>
          <w:bCs/>
        </w:rPr>
        <w:t>inglese</w:t>
      </w:r>
      <w:r>
        <w:rPr>
          <w:rFonts w:eastAsia="Times New Roman"/>
        </w:rPr>
        <w:t xml:space="preserve"> e </w:t>
      </w:r>
      <w:r>
        <w:rPr>
          <w:rFonts w:eastAsia="Times New Roman"/>
          <w:b/>
          <w:bCs/>
        </w:rPr>
        <w:t>italiano</w:t>
      </w:r>
      <w:r>
        <w:rPr>
          <w:rFonts w:eastAsia="Times New Roman"/>
        </w:rPr>
        <w:t xml:space="preserve"> secondo la struttura specificata nel materiale che verrà inviato al momento dell’adesione, insieme all’argomento da trattare (topic).</w:t>
      </w:r>
    </w:p>
    <w:p w:rsidR="00B35CD5" w:rsidRDefault="00B35CD5">
      <w:pPr>
        <w:spacing w:line="6" w:lineRule="exact"/>
        <w:rPr>
          <w:sz w:val="24"/>
          <w:szCs w:val="24"/>
        </w:rPr>
      </w:pPr>
    </w:p>
    <w:p w:rsidR="00B35CD5" w:rsidRDefault="00DF741A">
      <w:pPr>
        <w:spacing w:line="227" w:lineRule="auto"/>
        <w:ind w:left="6" w:right="360"/>
        <w:rPr>
          <w:sz w:val="20"/>
          <w:szCs w:val="20"/>
        </w:rPr>
      </w:pPr>
      <w:r>
        <w:rPr>
          <w:rFonts w:eastAsia="Times New Roman"/>
        </w:rPr>
        <w:t>Gli elaborati saranno raccolti in un unico documento (</w:t>
      </w:r>
      <w:r>
        <w:rPr>
          <w:rFonts w:eastAsia="Times New Roman"/>
        </w:rPr>
        <w:t>libretto delle risoluzioni), che sarà poi distribuito a tutti i partecipanti.</w:t>
      </w:r>
    </w:p>
    <w:p w:rsidR="00B35CD5" w:rsidRDefault="00B35CD5">
      <w:pPr>
        <w:spacing w:line="1" w:lineRule="exact"/>
        <w:rPr>
          <w:sz w:val="24"/>
          <w:szCs w:val="24"/>
        </w:rPr>
      </w:pPr>
    </w:p>
    <w:p w:rsidR="00B35CD5" w:rsidRDefault="00DF741A">
      <w:pPr>
        <w:spacing w:line="250" w:lineRule="auto"/>
        <w:ind w:left="6" w:right="540"/>
        <w:rPr>
          <w:sz w:val="20"/>
          <w:szCs w:val="20"/>
        </w:rPr>
      </w:pPr>
      <w:r>
        <w:rPr>
          <w:rFonts w:eastAsia="Times New Roman"/>
        </w:rPr>
        <w:t>Durante la simulazione della GA (Assemblea Generale) si dibatteranno tutte le proposte di risoluzione: i membri di ogni Commissione presenteranno agli altri il lavoro svolto, di</w:t>
      </w:r>
      <w:r>
        <w:rPr>
          <w:rFonts w:eastAsia="Times New Roman"/>
        </w:rPr>
        <w:t>fendendo le scelte politiche effettuate e rispondendo agli interventi dei colleghi.</w:t>
      </w:r>
    </w:p>
    <w:p w:rsidR="00B35CD5" w:rsidRDefault="00B35CD5">
      <w:pPr>
        <w:spacing w:line="2" w:lineRule="exact"/>
        <w:rPr>
          <w:sz w:val="24"/>
          <w:szCs w:val="24"/>
        </w:rPr>
      </w:pPr>
    </w:p>
    <w:p w:rsidR="00B35CD5" w:rsidRDefault="00DF741A">
      <w:pPr>
        <w:spacing w:line="267" w:lineRule="auto"/>
        <w:ind w:left="6" w:right="100"/>
        <w:rPr>
          <w:sz w:val="20"/>
          <w:szCs w:val="20"/>
        </w:rPr>
      </w:pPr>
      <w:r>
        <w:rPr>
          <w:rFonts w:eastAsia="Times New Roman"/>
        </w:rPr>
        <w:t xml:space="preserve">Il pomeriggio precedente lo svolgimento dell’Assemblea Generale, i ragazzi più grandi che hanno già fatto l’esperienza negli anni precedenti illustreranno le procedure </w:t>
      </w:r>
      <w:r>
        <w:rPr>
          <w:rFonts w:eastAsia="Times New Roman"/>
        </w:rPr>
        <w:t>assembleari da adottare durante lo svolgimento del dibattito, durante il quale le delegazioni dovranno dimostrare una buona conoscenza degli argomenti, disponibilità al confronto e alla collaborazione e capacità di comunicazione e di espressione linguistic</w:t>
      </w:r>
      <w:r>
        <w:rPr>
          <w:rFonts w:eastAsia="Times New Roman"/>
        </w:rPr>
        <w:t>a. Alla fine dei lavori, un’apposita giuria individuerà la commissione e i delegati migliori.</w:t>
      </w:r>
    </w:p>
    <w:p w:rsidR="00B35CD5" w:rsidRDefault="00B35CD5">
      <w:pPr>
        <w:spacing w:line="146" w:lineRule="exact"/>
        <w:rPr>
          <w:sz w:val="24"/>
          <w:szCs w:val="24"/>
        </w:rPr>
      </w:pPr>
    </w:p>
    <w:p w:rsidR="00B35CD5" w:rsidRDefault="00DF741A">
      <w:pPr>
        <w:spacing w:line="276" w:lineRule="auto"/>
        <w:ind w:left="6" w:right="300"/>
        <w:rPr>
          <w:sz w:val="20"/>
          <w:szCs w:val="20"/>
        </w:rPr>
      </w:pPr>
      <w:r>
        <w:rPr>
          <w:rFonts w:eastAsia="Times New Roman"/>
        </w:rPr>
        <w:t>Gli studenti nei laboratori di preparazione al dibattito comprendono l'importanza della ricerca e dell'approfondimento e acquisiscono un metodo utile per affront</w:t>
      </w:r>
      <w:r>
        <w:rPr>
          <w:rFonts w:eastAsia="Times New Roman"/>
        </w:rPr>
        <w:t>are qualsiasi tipo di studio e di problema, diventano consapevoli di essere soggetti di diritti e doveri e imparano a non imporre il proprio punto di vista, ma a cercare insieme un accordo sul quale costruire l’intesa.</w:t>
      </w:r>
    </w:p>
    <w:p w:rsidR="00B35CD5" w:rsidRDefault="00B35CD5">
      <w:pPr>
        <w:spacing w:line="136" w:lineRule="exact"/>
        <w:rPr>
          <w:sz w:val="24"/>
          <w:szCs w:val="24"/>
        </w:rPr>
      </w:pPr>
    </w:p>
    <w:p w:rsidR="00B35CD5" w:rsidRDefault="00DF741A">
      <w:pPr>
        <w:ind w:left="6"/>
        <w:rPr>
          <w:sz w:val="20"/>
          <w:szCs w:val="20"/>
        </w:rPr>
      </w:pPr>
      <w:r>
        <w:rPr>
          <w:rFonts w:eastAsia="Times New Roman"/>
        </w:rPr>
        <w:t>Imparano che solo il dialogo permett</w:t>
      </w:r>
      <w:r>
        <w:rPr>
          <w:rFonts w:eastAsia="Times New Roman"/>
        </w:rPr>
        <w:t>e la democrazia.</w:t>
      </w:r>
    </w:p>
    <w:p w:rsidR="00B35CD5" w:rsidRDefault="00B35CD5">
      <w:pPr>
        <w:spacing w:line="200" w:lineRule="exact"/>
        <w:rPr>
          <w:sz w:val="24"/>
          <w:szCs w:val="24"/>
        </w:rPr>
      </w:pPr>
    </w:p>
    <w:p w:rsidR="00B35CD5" w:rsidRDefault="00B35CD5">
      <w:pPr>
        <w:spacing w:line="200" w:lineRule="exact"/>
        <w:rPr>
          <w:sz w:val="24"/>
          <w:szCs w:val="24"/>
        </w:rPr>
      </w:pPr>
    </w:p>
    <w:p w:rsidR="00B35CD5" w:rsidRDefault="00B35CD5">
      <w:pPr>
        <w:spacing w:line="303" w:lineRule="exact"/>
        <w:rPr>
          <w:sz w:val="24"/>
          <w:szCs w:val="24"/>
        </w:rPr>
      </w:pPr>
    </w:p>
    <w:p w:rsidR="00B35CD5" w:rsidRDefault="00DF741A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Le </w:t>
      </w:r>
      <w:r>
        <w:rPr>
          <w:rFonts w:eastAsia="Times New Roman"/>
          <w:b/>
          <w:bCs/>
        </w:rPr>
        <w:t>finalità</w:t>
      </w:r>
      <w:r>
        <w:rPr>
          <w:rFonts w:eastAsia="Times New Roman"/>
        </w:rPr>
        <w:t xml:space="preserve"> del progetto, pertanto, sono:</w:t>
      </w:r>
    </w:p>
    <w:p w:rsidR="00B35CD5" w:rsidRDefault="00B35CD5">
      <w:pPr>
        <w:spacing w:line="231" w:lineRule="exact"/>
        <w:rPr>
          <w:sz w:val="24"/>
          <w:szCs w:val="24"/>
        </w:rPr>
      </w:pPr>
    </w:p>
    <w:p w:rsidR="00B35CD5" w:rsidRDefault="00DF741A">
      <w:pPr>
        <w:numPr>
          <w:ilvl w:val="0"/>
          <w:numId w:val="1"/>
        </w:numPr>
        <w:tabs>
          <w:tab w:val="left" w:pos="166"/>
        </w:tabs>
        <w:ind w:left="166" w:hanging="166"/>
        <w:rPr>
          <w:rFonts w:ascii="Trebuchet MS" w:eastAsia="Trebuchet MS" w:hAnsi="Trebuchet MS" w:cs="Trebuchet MS"/>
        </w:rPr>
      </w:pPr>
      <w:r>
        <w:rPr>
          <w:rFonts w:eastAsia="Times New Roman"/>
        </w:rPr>
        <w:t>l’educazione alla cittadinanza attiva e consapevole,</w:t>
      </w:r>
    </w:p>
    <w:p w:rsidR="00B35CD5" w:rsidRDefault="00B35CD5">
      <w:pPr>
        <w:spacing w:line="204" w:lineRule="exact"/>
        <w:rPr>
          <w:rFonts w:ascii="Trebuchet MS" w:eastAsia="Trebuchet MS" w:hAnsi="Trebuchet MS" w:cs="Trebuchet MS"/>
        </w:rPr>
      </w:pPr>
    </w:p>
    <w:p w:rsidR="00B35CD5" w:rsidRDefault="00DF741A">
      <w:pPr>
        <w:numPr>
          <w:ilvl w:val="0"/>
          <w:numId w:val="1"/>
        </w:numPr>
        <w:tabs>
          <w:tab w:val="left" w:pos="166"/>
        </w:tabs>
        <w:ind w:left="166" w:hanging="166"/>
        <w:rPr>
          <w:rFonts w:ascii="Trebuchet MS" w:eastAsia="Trebuchet MS" w:hAnsi="Trebuchet MS" w:cs="Trebuchet MS"/>
        </w:rPr>
      </w:pPr>
      <w:r>
        <w:rPr>
          <w:rFonts w:eastAsia="Times New Roman"/>
        </w:rPr>
        <w:t>lo sviluppo di una più vasta dimensione europea e globale,</w:t>
      </w:r>
    </w:p>
    <w:p w:rsidR="00B35CD5" w:rsidRDefault="00B35CD5">
      <w:pPr>
        <w:spacing w:line="224" w:lineRule="exact"/>
        <w:rPr>
          <w:rFonts w:ascii="Trebuchet MS" w:eastAsia="Trebuchet MS" w:hAnsi="Trebuchet MS" w:cs="Trebuchet MS"/>
        </w:rPr>
      </w:pPr>
    </w:p>
    <w:p w:rsidR="00B35CD5" w:rsidRDefault="00DF741A">
      <w:pPr>
        <w:numPr>
          <w:ilvl w:val="0"/>
          <w:numId w:val="1"/>
        </w:numPr>
        <w:tabs>
          <w:tab w:val="left" w:pos="166"/>
        </w:tabs>
        <w:ind w:left="166" w:hanging="166"/>
        <w:rPr>
          <w:rFonts w:ascii="Trebuchet MS" w:eastAsia="Trebuchet MS" w:hAnsi="Trebuchet MS" w:cs="Trebuchet MS"/>
        </w:rPr>
      </w:pPr>
      <w:r>
        <w:rPr>
          <w:rFonts w:eastAsia="Times New Roman"/>
        </w:rPr>
        <w:t>lo sviluppo dell’autonomia e della creatività,</w:t>
      </w:r>
    </w:p>
    <w:p w:rsidR="00B35CD5" w:rsidRDefault="00B35CD5">
      <w:pPr>
        <w:spacing w:line="224" w:lineRule="exact"/>
        <w:rPr>
          <w:rFonts w:ascii="Trebuchet MS" w:eastAsia="Trebuchet MS" w:hAnsi="Trebuchet MS" w:cs="Trebuchet MS"/>
        </w:rPr>
      </w:pPr>
    </w:p>
    <w:p w:rsidR="00B35CD5" w:rsidRDefault="00DF741A">
      <w:pPr>
        <w:numPr>
          <w:ilvl w:val="0"/>
          <w:numId w:val="1"/>
        </w:numPr>
        <w:tabs>
          <w:tab w:val="left" w:pos="166"/>
        </w:tabs>
        <w:spacing w:line="276" w:lineRule="auto"/>
        <w:ind w:left="166" w:right="420" w:hanging="166"/>
        <w:rPr>
          <w:rFonts w:ascii="Trebuchet MS" w:eastAsia="Trebuchet MS" w:hAnsi="Trebuchet MS" w:cs="Trebuchet MS"/>
        </w:rPr>
      </w:pPr>
      <w:r>
        <w:rPr>
          <w:rFonts w:eastAsia="Times New Roman"/>
        </w:rPr>
        <w:t>il rispetto delle regole, solam</w:t>
      </w:r>
      <w:r>
        <w:rPr>
          <w:rFonts w:eastAsia="Times New Roman"/>
        </w:rPr>
        <w:t>ente nel rispetto delle quali è possibile l’esercizio dello spirito critico e la concreta libertà.</w:t>
      </w:r>
    </w:p>
    <w:p w:rsidR="00B35CD5" w:rsidRDefault="00B35CD5">
      <w:pPr>
        <w:spacing w:line="155" w:lineRule="exact"/>
        <w:rPr>
          <w:rFonts w:ascii="Trebuchet MS" w:eastAsia="Trebuchet MS" w:hAnsi="Trebuchet MS" w:cs="Trebuchet MS"/>
        </w:rPr>
      </w:pPr>
    </w:p>
    <w:p w:rsidR="00B35CD5" w:rsidRDefault="00DF741A">
      <w:pPr>
        <w:numPr>
          <w:ilvl w:val="0"/>
          <w:numId w:val="1"/>
        </w:numPr>
        <w:tabs>
          <w:tab w:val="left" w:pos="166"/>
        </w:tabs>
        <w:spacing w:line="280" w:lineRule="auto"/>
        <w:ind w:left="166" w:right="140" w:hanging="166"/>
        <w:rPr>
          <w:rFonts w:ascii="Trebuchet MS" w:eastAsia="Trebuchet MS" w:hAnsi="Trebuchet MS" w:cs="Trebuchet MS"/>
        </w:rPr>
      </w:pPr>
      <w:r>
        <w:rPr>
          <w:rFonts w:eastAsia="Times New Roman"/>
        </w:rPr>
        <w:t xml:space="preserve">la collaborazione tra le scuole superiori del territorio, perché un maggiore scambio e una maggiore condivisione delle esperienze possa avere una ricaduta </w:t>
      </w:r>
      <w:r>
        <w:rPr>
          <w:rFonts w:eastAsia="Times New Roman"/>
        </w:rPr>
        <w:t>positiva sul processo formativo degli studenti, che nel confronto e nel dialogo trovano ulteriore stimolo per l’ arricchimento del loro bagaglio culturale.</w:t>
      </w:r>
    </w:p>
    <w:p w:rsidR="00B35CD5" w:rsidRDefault="00B35CD5">
      <w:pPr>
        <w:sectPr w:rsidR="00B35CD5">
          <w:pgSz w:w="11900" w:h="16840"/>
          <w:pgMar w:top="650" w:right="1180" w:bottom="1440" w:left="1134" w:header="0" w:footer="0" w:gutter="0"/>
          <w:cols w:space="720" w:equalWidth="0">
            <w:col w:w="9586"/>
          </w:cols>
        </w:sectPr>
      </w:pPr>
    </w:p>
    <w:p w:rsidR="00B35CD5" w:rsidRDefault="00B35CD5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B35CD5" w:rsidRDefault="00B35CD5">
      <w:pPr>
        <w:spacing w:line="239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eastAsia="Times New Roman"/>
        </w:rPr>
        <w:t>Di seguito il calendario delle scadenze:</w:t>
      </w: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81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SCADENZE:</w:t>
      </w:r>
    </w:p>
    <w:p w:rsidR="00B35CD5" w:rsidRDefault="00DF74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12065</wp:posOffset>
            </wp:positionV>
            <wp:extent cx="611632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CD5" w:rsidRDefault="00B35CD5">
      <w:pPr>
        <w:spacing w:line="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0"/>
      </w:tblGrid>
      <w:tr w:rsidR="00B35CD5">
        <w:trPr>
          <w:trHeight w:val="292"/>
        </w:trPr>
        <w:tc>
          <w:tcPr>
            <w:tcW w:w="4820" w:type="dxa"/>
            <w:shd w:val="clear" w:color="auto" w:fill="CFD7E7"/>
            <w:vAlign w:val="bottom"/>
          </w:tcPr>
          <w:p w:rsidR="00B35CD5" w:rsidRDefault="00DF741A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Entro il 25 gennaio 20</w:t>
            </w:r>
            <w:r>
              <w:rPr>
                <w:rFonts w:ascii="Trebuchet MS" w:eastAsia="Trebuchet MS" w:hAnsi="Trebuchet MS" w:cs="Trebuchet MS"/>
                <w:b/>
                <w:bCs/>
              </w:rPr>
              <w:t>19</w:t>
            </w:r>
          </w:p>
        </w:tc>
        <w:tc>
          <w:tcPr>
            <w:tcW w:w="4800" w:type="dxa"/>
            <w:shd w:val="clear" w:color="auto" w:fill="CFD7E7"/>
            <w:vAlign w:val="bottom"/>
          </w:tcPr>
          <w:p w:rsidR="00B35CD5" w:rsidRDefault="00DF741A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Conferma adesione dell’istituto partecipante</w:t>
            </w:r>
          </w:p>
        </w:tc>
      </w:tr>
      <w:tr w:rsidR="00B35CD5">
        <w:trPr>
          <w:trHeight w:val="148"/>
        </w:trPr>
        <w:tc>
          <w:tcPr>
            <w:tcW w:w="4820" w:type="dxa"/>
            <w:shd w:val="clear" w:color="auto" w:fill="CFD7E7"/>
            <w:vAlign w:val="bottom"/>
          </w:tcPr>
          <w:p w:rsidR="00B35CD5" w:rsidRDefault="00B35CD5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shd w:val="clear" w:color="auto" w:fill="CFD7E7"/>
            <w:vAlign w:val="bottom"/>
          </w:tcPr>
          <w:p w:rsidR="00B35CD5" w:rsidRDefault="00B35CD5">
            <w:pPr>
              <w:rPr>
                <w:sz w:val="12"/>
                <w:szCs w:val="12"/>
              </w:rPr>
            </w:pPr>
          </w:p>
        </w:tc>
      </w:tr>
      <w:tr w:rsidR="00B35CD5">
        <w:trPr>
          <w:trHeight w:val="272"/>
        </w:trPr>
        <w:tc>
          <w:tcPr>
            <w:tcW w:w="4820" w:type="dxa"/>
            <w:shd w:val="clear" w:color="auto" w:fill="E8ECF4"/>
            <w:vAlign w:val="bottom"/>
          </w:tcPr>
          <w:p w:rsidR="00B35CD5" w:rsidRDefault="00DF741A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Entro il 1 febbraio 2019</w:t>
            </w:r>
          </w:p>
        </w:tc>
        <w:tc>
          <w:tcPr>
            <w:tcW w:w="4800" w:type="dxa"/>
            <w:shd w:val="clear" w:color="auto" w:fill="E8ECF4"/>
            <w:vAlign w:val="bottom"/>
          </w:tcPr>
          <w:p w:rsidR="00B35CD5" w:rsidRDefault="00DF741A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Invio degli argomenti di lavoro (topic)</w:t>
            </w:r>
          </w:p>
        </w:tc>
      </w:tr>
      <w:tr w:rsidR="00B35CD5">
        <w:trPr>
          <w:trHeight w:val="168"/>
        </w:trPr>
        <w:tc>
          <w:tcPr>
            <w:tcW w:w="4820" w:type="dxa"/>
            <w:shd w:val="clear" w:color="auto" w:fill="E8ECF4"/>
            <w:vAlign w:val="bottom"/>
          </w:tcPr>
          <w:p w:rsidR="00B35CD5" w:rsidRDefault="00B35CD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shd w:val="clear" w:color="auto" w:fill="E8ECF4"/>
            <w:vAlign w:val="bottom"/>
          </w:tcPr>
          <w:p w:rsidR="00B35CD5" w:rsidRDefault="00B35CD5">
            <w:pPr>
              <w:rPr>
                <w:sz w:val="14"/>
                <w:szCs w:val="14"/>
              </w:rPr>
            </w:pPr>
          </w:p>
        </w:tc>
      </w:tr>
      <w:tr w:rsidR="00B35CD5">
        <w:trPr>
          <w:trHeight w:val="272"/>
        </w:trPr>
        <w:tc>
          <w:tcPr>
            <w:tcW w:w="4820" w:type="dxa"/>
            <w:shd w:val="clear" w:color="auto" w:fill="CFD7E7"/>
            <w:vAlign w:val="bottom"/>
          </w:tcPr>
          <w:p w:rsidR="00B35CD5" w:rsidRDefault="00DF741A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Entro il 30 marzo 2019</w:t>
            </w:r>
          </w:p>
        </w:tc>
        <w:tc>
          <w:tcPr>
            <w:tcW w:w="4800" w:type="dxa"/>
            <w:shd w:val="clear" w:color="auto" w:fill="CFD7E7"/>
            <w:vAlign w:val="bottom"/>
          </w:tcPr>
          <w:p w:rsidR="00B35CD5" w:rsidRDefault="00DF741A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Consegna delle risoluzioni</w:t>
            </w:r>
          </w:p>
        </w:tc>
      </w:tr>
      <w:tr w:rsidR="00B35CD5">
        <w:trPr>
          <w:trHeight w:val="168"/>
        </w:trPr>
        <w:tc>
          <w:tcPr>
            <w:tcW w:w="4820" w:type="dxa"/>
            <w:shd w:val="clear" w:color="auto" w:fill="CFD7E7"/>
            <w:vAlign w:val="bottom"/>
          </w:tcPr>
          <w:p w:rsidR="00B35CD5" w:rsidRDefault="00B35CD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shd w:val="clear" w:color="auto" w:fill="CFD7E7"/>
            <w:vAlign w:val="bottom"/>
          </w:tcPr>
          <w:p w:rsidR="00B35CD5" w:rsidRDefault="00B35CD5">
            <w:pPr>
              <w:rPr>
                <w:sz w:val="14"/>
                <w:szCs w:val="14"/>
              </w:rPr>
            </w:pPr>
          </w:p>
        </w:tc>
      </w:tr>
      <w:tr w:rsidR="00B35CD5">
        <w:trPr>
          <w:trHeight w:val="235"/>
        </w:trPr>
        <w:tc>
          <w:tcPr>
            <w:tcW w:w="4820" w:type="dxa"/>
            <w:shd w:val="clear" w:color="auto" w:fill="E8ECF4"/>
            <w:vAlign w:val="bottom"/>
          </w:tcPr>
          <w:p w:rsidR="00B35CD5" w:rsidRDefault="00DF741A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Entro il 06 aprile 2019</w:t>
            </w:r>
          </w:p>
        </w:tc>
        <w:tc>
          <w:tcPr>
            <w:tcW w:w="4800" w:type="dxa"/>
            <w:shd w:val="clear" w:color="auto" w:fill="E8ECF4"/>
            <w:vAlign w:val="bottom"/>
          </w:tcPr>
          <w:p w:rsidR="00B35CD5" w:rsidRDefault="00DF741A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Predisposizione del libretto delle risoluzioni  e</w:t>
            </w:r>
          </w:p>
        </w:tc>
      </w:tr>
      <w:tr w:rsidR="00B35CD5">
        <w:trPr>
          <w:trHeight w:val="264"/>
        </w:trPr>
        <w:tc>
          <w:tcPr>
            <w:tcW w:w="4820" w:type="dxa"/>
            <w:shd w:val="clear" w:color="auto" w:fill="E8ECF4"/>
            <w:vAlign w:val="bottom"/>
          </w:tcPr>
          <w:p w:rsidR="00B35CD5" w:rsidRDefault="00B35CD5"/>
        </w:tc>
        <w:tc>
          <w:tcPr>
            <w:tcW w:w="4800" w:type="dxa"/>
            <w:shd w:val="clear" w:color="auto" w:fill="E8ECF4"/>
            <w:vAlign w:val="bottom"/>
          </w:tcPr>
          <w:p w:rsidR="00B35CD5" w:rsidRDefault="00DF741A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consegna a tutte le delegazioni</w:t>
            </w:r>
          </w:p>
        </w:tc>
      </w:tr>
      <w:tr w:rsidR="00B35CD5">
        <w:trPr>
          <w:trHeight w:val="273"/>
        </w:trPr>
        <w:tc>
          <w:tcPr>
            <w:tcW w:w="4820" w:type="dxa"/>
            <w:shd w:val="clear" w:color="auto" w:fill="CFD7E7"/>
            <w:vAlign w:val="bottom"/>
          </w:tcPr>
          <w:p w:rsidR="00B35CD5" w:rsidRDefault="00DF741A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17 maggio</w:t>
            </w:r>
          </w:p>
        </w:tc>
        <w:tc>
          <w:tcPr>
            <w:tcW w:w="4800" w:type="dxa"/>
            <w:shd w:val="clear" w:color="auto" w:fill="CFD7E7"/>
            <w:vAlign w:val="bottom"/>
          </w:tcPr>
          <w:p w:rsidR="00B35CD5" w:rsidRDefault="00DF741A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</w:rPr>
              <w:t>Assemblea Generale</w:t>
            </w:r>
          </w:p>
        </w:tc>
      </w:tr>
      <w:tr w:rsidR="00B35CD5">
        <w:trPr>
          <w:trHeight w:val="168"/>
        </w:trPr>
        <w:tc>
          <w:tcPr>
            <w:tcW w:w="4820" w:type="dxa"/>
            <w:shd w:val="clear" w:color="auto" w:fill="CFD7E7"/>
            <w:vAlign w:val="bottom"/>
          </w:tcPr>
          <w:p w:rsidR="00B35CD5" w:rsidRDefault="00B35CD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shd w:val="clear" w:color="auto" w:fill="CFD7E7"/>
            <w:vAlign w:val="bottom"/>
          </w:tcPr>
          <w:p w:rsidR="00B35CD5" w:rsidRDefault="00B35CD5">
            <w:pPr>
              <w:rPr>
                <w:sz w:val="14"/>
                <w:szCs w:val="14"/>
              </w:rPr>
            </w:pPr>
          </w:p>
        </w:tc>
      </w:tr>
    </w:tbl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1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eastAsia="Times New Roman"/>
        </w:rPr>
        <w:t>Queste le scuole che hanno confermato la loro adesione:</w:t>
      </w:r>
    </w:p>
    <w:p w:rsidR="00B35CD5" w:rsidRDefault="00B35CD5">
      <w:pPr>
        <w:spacing w:line="227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eastAsia="Times New Roman"/>
        </w:rPr>
        <w:t>IISST di Orvieto -sezione scientifico-</w:t>
      </w:r>
    </w:p>
    <w:p w:rsidR="00B35CD5" w:rsidRDefault="00B35CD5">
      <w:pPr>
        <w:spacing w:line="8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eastAsia="Times New Roman"/>
        </w:rPr>
        <w:t>IISST di Orvieto -sezione linguistico-</w:t>
      </w:r>
    </w:p>
    <w:p w:rsidR="00B35CD5" w:rsidRDefault="00DF741A">
      <w:pPr>
        <w:spacing w:line="227" w:lineRule="auto"/>
        <w:ind w:left="20"/>
        <w:rPr>
          <w:sz w:val="20"/>
          <w:szCs w:val="20"/>
        </w:rPr>
      </w:pPr>
      <w:r>
        <w:rPr>
          <w:rFonts w:eastAsia="Times New Roman"/>
        </w:rPr>
        <w:t>ISSACP di Orvieto</w:t>
      </w:r>
    </w:p>
    <w:p w:rsidR="00B35CD5" w:rsidRDefault="00DF741A">
      <w:pPr>
        <w:spacing w:line="228" w:lineRule="auto"/>
        <w:ind w:left="20"/>
        <w:rPr>
          <w:sz w:val="20"/>
          <w:szCs w:val="20"/>
        </w:rPr>
      </w:pPr>
      <w:r>
        <w:rPr>
          <w:rFonts w:eastAsia="Times New Roman"/>
        </w:rPr>
        <w:t>LICEO “Tacito” di Terni</w:t>
      </w:r>
    </w:p>
    <w:p w:rsidR="00B35CD5" w:rsidRDefault="00DF741A">
      <w:pPr>
        <w:ind w:left="20"/>
        <w:rPr>
          <w:sz w:val="20"/>
          <w:szCs w:val="20"/>
        </w:rPr>
      </w:pPr>
      <w:r>
        <w:rPr>
          <w:rFonts w:eastAsia="Times New Roman"/>
        </w:rPr>
        <w:t xml:space="preserve">LICEO </w:t>
      </w:r>
      <w:r>
        <w:rPr>
          <w:rFonts w:eastAsia="Times New Roman"/>
        </w:rPr>
        <w:t>Scientifico di Acquapendente</w:t>
      </w: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39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Programma orientativo</w:t>
      </w:r>
    </w:p>
    <w:p w:rsidR="00B35CD5" w:rsidRDefault="00B35CD5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60"/>
      </w:tblGrid>
      <w:tr w:rsidR="00B35CD5">
        <w:trPr>
          <w:trHeight w:val="350"/>
        </w:trPr>
        <w:tc>
          <w:tcPr>
            <w:tcW w:w="16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9.00/10.00</w:t>
            </w:r>
          </w:p>
        </w:tc>
        <w:tc>
          <w:tcPr>
            <w:tcW w:w="48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Cerimonia di apertura e saluto delle autorità</w:t>
            </w:r>
          </w:p>
        </w:tc>
      </w:tr>
      <w:tr w:rsidR="00B35CD5">
        <w:trPr>
          <w:trHeight w:val="6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</w:tr>
      <w:tr w:rsidR="00B35CD5">
        <w:trPr>
          <w:trHeight w:val="31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10.00/10.45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Primo dibattito</w:t>
            </w:r>
          </w:p>
        </w:tc>
      </w:tr>
      <w:tr w:rsidR="00B35CD5">
        <w:trPr>
          <w:trHeight w:val="7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</w:tr>
      <w:tr w:rsidR="00B35CD5">
        <w:trPr>
          <w:trHeight w:val="32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10.45/11.15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Coffee- break</w:t>
            </w:r>
          </w:p>
        </w:tc>
      </w:tr>
      <w:tr w:rsidR="00B35CD5">
        <w:trPr>
          <w:trHeight w:val="6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</w:tr>
      <w:tr w:rsidR="00B35CD5">
        <w:trPr>
          <w:trHeight w:val="31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11.15 /12.00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Secondo dibattito</w:t>
            </w:r>
          </w:p>
        </w:tc>
      </w:tr>
      <w:tr w:rsidR="00B35CD5">
        <w:trPr>
          <w:trHeight w:val="7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</w:tr>
      <w:tr w:rsidR="00B35CD5">
        <w:trPr>
          <w:trHeight w:val="32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12.00/12.45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Terzo dibattito</w:t>
            </w:r>
          </w:p>
        </w:tc>
      </w:tr>
      <w:tr w:rsidR="00B35CD5">
        <w:trPr>
          <w:trHeight w:val="6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</w:tr>
      <w:tr w:rsidR="00B35CD5">
        <w:trPr>
          <w:trHeight w:val="31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12.45/14.30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Pausa pranzo</w:t>
            </w:r>
          </w:p>
        </w:tc>
      </w:tr>
      <w:tr w:rsidR="00B35CD5">
        <w:trPr>
          <w:trHeight w:val="7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</w:tr>
      <w:tr w:rsidR="00B35CD5">
        <w:trPr>
          <w:trHeight w:val="32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14.30/15.15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Quarto dibattito</w:t>
            </w:r>
          </w:p>
        </w:tc>
      </w:tr>
      <w:tr w:rsidR="00B35CD5">
        <w:trPr>
          <w:trHeight w:val="6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</w:tr>
      <w:tr w:rsidR="00B35CD5">
        <w:trPr>
          <w:trHeight w:val="31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15.15/16.00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Quinto  dibattito</w:t>
            </w:r>
          </w:p>
        </w:tc>
      </w:tr>
      <w:tr w:rsidR="00B35CD5">
        <w:trPr>
          <w:trHeight w:val="7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6"/>
                <w:szCs w:val="6"/>
              </w:rPr>
            </w:pPr>
          </w:p>
        </w:tc>
      </w:tr>
      <w:tr w:rsidR="00B35CD5">
        <w:trPr>
          <w:trHeight w:val="325"/>
        </w:trPr>
        <w:tc>
          <w:tcPr>
            <w:tcW w:w="16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35CD5" w:rsidRDefault="00DF741A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16.00/16.45</w:t>
            </w:r>
          </w:p>
        </w:tc>
        <w:tc>
          <w:tcPr>
            <w:tcW w:w="4860" w:type="dxa"/>
            <w:tcBorders>
              <w:right w:val="single" w:sz="8" w:space="0" w:color="808080"/>
            </w:tcBorders>
            <w:vAlign w:val="bottom"/>
          </w:tcPr>
          <w:p w:rsidR="00B35CD5" w:rsidRDefault="00DF741A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Cerimonia di chiusura e premiazioni</w:t>
            </w:r>
          </w:p>
        </w:tc>
      </w:tr>
      <w:tr w:rsidR="00B35CD5">
        <w:trPr>
          <w:trHeight w:val="65"/>
        </w:trPr>
        <w:tc>
          <w:tcPr>
            <w:tcW w:w="1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35CD5" w:rsidRDefault="00B35CD5">
            <w:pPr>
              <w:rPr>
                <w:sz w:val="5"/>
                <w:szCs w:val="5"/>
              </w:rPr>
            </w:pPr>
          </w:p>
        </w:tc>
      </w:tr>
    </w:tbl>
    <w:p w:rsidR="00B35CD5" w:rsidRDefault="00B35CD5">
      <w:pPr>
        <w:spacing w:line="181" w:lineRule="exact"/>
        <w:rPr>
          <w:sz w:val="20"/>
          <w:szCs w:val="20"/>
        </w:rPr>
      </w:pPr>
    </w:p>
    <w:p w:rsidR="00B35CD5" w:rsidRDefault="00DF741A">
      <w:pPr>
        <w:spacing w:line="281" w:lineRule="auto"/>
        <w:ind w:left="20" w:righ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*</w:t>
      </w:r>
      <w:r>
        <w:rPr>
          <w:rFonts w:eastAsia="Times New Roman"/>
          <w:sz w:val="21"/>
          <w:szCs w:val="21"/>
        </w:rPr>
        <w:t>Si sta valutando la possibilità di organizzare, nel pomeriggio precedente ,l’incontro di tutte le delegazioni 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la discussione di una </w:t>
      </w:r>
      <w:r>
        <w:rPr>
          <w:rFonts w:eastAsia="Times New Roman"/>
          <w:i/>
          <w:iCs/>
          <w:sz w:val="21"/>
          <w:szCs w:val="21"/>
        </w:rPr>
        <w:t>mock resolution</w:t>
      </w:r>
      <w:r>
        <w:rPr>
          <w:rFonts w:eastAsia="Times New Roman"/>
          <w:sz w:val="21"/>
          <w:szCs w:val="21"/>
        </w:rPr>
        <w:t xml:space="preserve"> per provare ed acquisire dimestichezza con le procedure assembleari</w:t>
      </w: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00" w:lineRule="exact"/>
        <w:rPr>
          <w:sz w:val="20"/>
          <w:szCs w:val="20"/>
        </w:rPr>
      </w:pPr>
    </w:p>
    <w:p w:rsidR="00B35CD5" w:rsidRDefault="00B35CD5">
      <w:pPr>
        <w:spacing w:line="238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PREVISIONE DI SPESA</w:t>
      </w:r>
    </w:p>
    <w:p w:rsidR="00B35CD5" w:rsidRDefault="00B35CD5">
      <w:pPr>
        <w:spacing w:line="225" w:lineRule="exact"/>
        <w:rPr>
          <w:sz w:val="20"/>
          <w:szCs w:val="20"/>
        </w:rPr>
      </w:pPr>
    </w:p>
    <w:p w:rsidR="00B35CD5" w:rsidRDefault="00DF741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Coffee-break e Pranzo-buffet per ca 80 ps</w:t>
      </w:r>
    </w:p>
    <w:sectPr w:rsidR="00B35CD5">
      <w:pgSz w:w="11900" w:h="16840"/>
      <w:pgMar w:top="1440" w:right="1140" w:bottom="1440" w:left="11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6582074"/>
    <w:lvl w:ilvl="0" w:tplc="7D824B52">
      <w:start w:val="1"/>
      <w:numFmt w:val="bullet"/>
      <w:lvlText w:val="-"/>
      <w:lvlJc w:val="left"/>
    </w:lvl>
    <w:lvl w:ilvl="1" w:tplc="1238693C">
      <w:numFmt w:val="decimal"/>
      <w:lvlText w:val=""/>
      <w:lvlJc w:val="left"/>
    </w:lvl>
    <w:lvl w:ilvl="2" w:tplc="86E0B3FA">
      <w:numFmt w:val="decimal"/>
      <w:lvlText w:val=""/>
      <w:lvlJc w:val="left"/>
    </w:lvl>
    <w:lvl w:ilvl="3" w:tplc="2508FEE4">
      <w:numFmt w:val="decimal"/>
      <w:lvlText w:val=""/>
      <w:lvlJc w:val="left"/>
    </w:lvl>
    <w:lvl w:ilvl="4" w:tplc="0C6AC3B2">
      <w:numFmt w:val="decimal"/>
      <w:lvlText w:val=""/>
      <w:lvlJc w:val="left"/>
    </w:lvl>
    <w:lvl w:ilvl="5" w:tplc="258A8A00">
      <w:numFmt w:val="decimal"/>
      <w:lvlText w:val=""/>
      <w:lvlJc w:val="left"/>
    </w:lvl>
    <w:lvl w:ilvl="6" w:tplc="8D72FAB0">
      <w:numFmt w:val="decimal"/>
      <w:lvlText w:val=""/>
      <w:lvlJc w:val="left"/>
    </w:lvl>
    <w:lvl w:ilvl="7" w:tplc="B37C0C7E">
      <w:numFmt w:val="decimal"/>
      <w:lvlText w:val=""/>
      <w:lvlJc w:val="left"/>
    </w:lvl>
    <w:lvl w:ilvl="8" w:tplc="862CEC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5"/>
    <w:rsid w:val="00B35CD5"/>
    <w:rsid w:val="00D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raffaele</cp:lastModifiedBy>
  <cp:revision>2</cp:revision>
  <dcterms:created xsi:type="dcterms:W3CDTF">2019-02-08T17:40:00Z</dcterms:created>
  <dcterms:modified xsi:type="dcterms:W3CDTF">2019-02-08T17:40:00Z</dcterms:modified>
</cp:coreProperties>
</file>